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683AFF">
        <w:rPr>
          <w:rFonts w:ascii="Arial" w:hAnsi="Arial" w:cs="Arial"/>
          <w:b/>
          <w:bCs/>
          <w:sz w:val="22"/>
        </w:rPr>
        <w:t>bis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61227C" w:rsidRPr="0061227C">
        <w:rPr>
          <w:rFonts w:ascii="Arial" w:hAnsi="Arial" w:cs="Arial"/>
          <w:b/>
          <w:bCs/>
          <w:sz w:val="22"/>
        </w:rPr>
        <w:t>1811939</w:t>
      </w:r>
    </w:p>
    <w:p w:rsidR="00FB1416" w:rsidRDefault="00683AFF" w:rsidP="002A2F25">
      <w:pPr>
        <w:rPr>
          <w:rFonts w:ascii="Arial" w:hAnsi="Arial" w:cs="Arial"/>
          <w:b/>
          <w:bCs/>
          <w:sz w:val="22"/>
        </w:rPr>
      </w:pPr>
      <w:r w:rsidRPr="00683AFF">
        <w:rPr>
          <w:rFonts w:ascii="Arial" w:hAnsi="Arial" w:cs="Arial"/>
          <w:b/>
          <w:bCs/>
          <w:sz w:val="22"/>
        </w:rPr>
        <w:t>Chengdu, China, Oct. 8 - 12,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="00683AFF">
        <w:rPr>
          <w:rFonts w:ascii="Arial" w:hAnsi="Arial" w:cs="Arial"/>
          <w:b/>
        </w:rPr>
        <w:t xml:space="preserve">Reply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683AFF">
        <w:rPr>
          <w:rFonts w:ascii="Arial" w:hAnsi="Arial" w:cs="Arial"/>
          <w:b/>
        </w:rPr>
        <w:t>intra-band combination for NR CA and MR-DC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83AFF">
        <w:rPr>
          <w:rFonts w:ascii="Arial" w:hAnsi="Arial" w:cs="Arial"/>
          <w:bCs/>
        </w:rPr>
        <w:t>R1-1810068 (R2-1813442)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</w:rPr>
        <w:t xml:space="preserve">Intel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424D93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to provide response to questions asked regarding distinction between contiguous and non-contiguous LTE and NR MR-DC band combination and handling of TA in synchronous MR-DC.</w:t>
      </w:r>
    </w:p>
    <w:p w:rsidR="0061227C" w:rsidRDefault="0061227C" w:rsidP="00DF4C2A">
      <w:pPr>
        <w:rPr>
          <w:rFonts w:ascii="Arial" w:hAnsi="Arial" w:cs="Arial"/>
        </w:rPr>
      </w:pPr>
    </w:p>
    <w:p w:rsidR="0061227C" w:rsidRDefault="0061227C" w:rsidP="00DF4C2A">
      <w:pPr>
        <w:rPr>
          <w:rFonts w:ascii="Arial" w:hAnsi="Arial" w:cs="Arial"/>
        </w:rPr>
      </w:pPr>
      <w:r>
        <w:rPr>
          <w:rFonts w:ascii="Arial" w:hAnsi="Arial" w:cs="Arial"/>
        </w:rPr>
        <w:t>RAN2 has provided two cases.</w:t>
      </w:r>
    </w:p>
    <w:p w:rsidR="0061227C" w:rsidRPr="0061227C" w:rsidRDefault="0061227C" w:rsidP="0061227C">
      <w:pPr>
        <w:pStyle w:val="ListParagraph"/>
        <w:numPr>
          <w:ilvl w:val="0"/>
          <w:numId w:val="22"/>
        </w:numPr>
        <w:spacing w:after="120"/>
        <w:ind w:leftChars="0"/>
        <w:rPr>
          <w:rFonts w:ascii="Arial" w:hAnsi="Arial" w:cs="Arial"/>
        </w:rPr>
      </w:pPr>
      <w:r w:rsidRPr="0061227C">
        <w:rPr>
          <w:rFonts w:ascii="Arial" w:hAnsi="Arial" w:cs="Arial"/>
        </w:rPr>
        <w:t>Case 1: MR-DC band combination where the spectrum is contiguous across LTE and NR within the same band</w:t>
      </w:r>
    </w:p>
    <w:p w:rsidR="0061227C" w:rsidRPr="0061227C" w:rsidRDefault="0061227C" w:rsidP="0061227C">
      <w:pPr>
        <w:pStyle w:val="ListParagraph"/>
        <w:numPr>
          <w:ilvl w:val="0"/>
          <w:numId w:val="22"/>
        </w:numPr>
        <w:spacing w:after="120"/>
        <w:ind w:leftChars="0"/>
        <w:rPr>
          <w:rFonts w:ascii="Arial" w:hAnsi="Arial" w:cs="Arial"/>
        </w:rPr>
      </w:pPr>
      <w:r w:rsidRPr="0061227C">
        <w:rPr>
          <w:rFonts w:ascii="Arial" w:hAnsi="Arial" w:cs="Arial"/>
        </w:rPr>
        <w:t>Case 2: MR-DC band combination where both LTE and NR are in the same band, but not in one contiguous spectrum.</w:t>
      </w:r>
    </w:p>
    <w:p w:rsidR="0061227C" w:rsidRDefault="0061227C" w:rsidP="00DF4C2A">
      <w:pPr>
        <w:rPr>
          <w:rFonts w:ascii="Arial" w:hAnsi="Arial" w:cs="Arial"/>
        </w:rPr>
      </w:pPr>
      <w:r>
        <w:rPr>
          <w:rFonts w:ascii="Arial" w:hAnsi="Arial" w:cs="Arial"/>
        </w:rPr>
        <w:t>RAN2 has asked the following question.</w:t>
      </w:r>
    </w:p>
    <w:p w:rsidR="0061227C" w:rsidRDefault="0061227C" w:rsidP="0061227C">
      <w:pPr>
        <w:numPr>
          <w:ilvl w:val="0"/>
          <w:numId w:val="21"/>
        </w:numPr>
        <w:spacing w:after="12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On whether RAN2 should differentiate between Case 1 and Case 2 above. </w:t>
      </w:r>
    </w:p>
    <w:p w:rsidR="0061227C" w:rsidRDefault="0061227C" w:rsidP="0061227C">
      <w:pPr>
        <w:numPr>
          <w:ilvl w:val="0"/>
          <w:numId w:val="21"/>
        </w:numPr>
        <w:spacing w:after="12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How synchronous MR-DC combinations should be supported from timing adjustment perspective. </w:t>
      </w:r>
    </w:p>
    <w:p w:rsidR="0061227C" w:rsidRDefault="0061227C" w:rsidP="0061227C">
      <w:pPr>
        <w:rPr>
          <w:rFonts w:ascii="Arial" w:hAnsi="Arial" w:cs="Arial"/>
        </w:rPr>
      </w:pPr>
    </w:p>
    <w:p w:rsidR="0061227C" w:rsidRDefault="0061227C" w:rsidP="0061227C">
      <w:pPr>
        <w:rPr>
          <w:rFonts w:ascii="Arial" w:hAnsi="Arial" w:cs="Arial"/>
        </w:rPr>
      </w:pPr>
      <w:r>
        <w:rPr>
          <w:rFonts w:ascii="Arial" w:hAnsi="Arial" w:cs="Arial"/>
        </w:rPr>
        <w:t>For the first question</w:t>
      </w:r>
      <w:r>
        <w:rPr>
          <w:rFonts w:ascii="Arial" w:hAnsi="Arial" w:cs="Arial"/>
        </w:rPr>
        <w:t>, RAN1 believes the following two cases should be differentiated in terms of signa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>ling for the following two cases of int</w:t>
      </w:r>
      <w:r>
        <w:rPr>
          <w:rFonts w:ascii="Arial" w:hAnsi="Arial" w:cs="Arial"/>
        </w:rPr>
        <w:t xml:space="preserve">ra-band MR-DC band combinations. </w:t>
      </w:r>
      <w:r>
        <w:rPr>
          <w:rFonts w:ascii="Arial" w:hAnsi="Arial" w:cs="Arial"/>
        </w:rPr>
        <w:t>One of the major reasons for distinction would be potential RF architecture implementation choices for case 1 and 2. Depending on UE implementation choice, different limitations of UE transmit operations would need to be considered.</w:t>
      </w:r>
    </w:p>
    <w:p w:rsidR="0061227C" w:rsidRPr="009A68AD" w:rsidRDefault="0061227C" w:rsidP="0061227C">
      <w:pPr>
        <w:rPr>
          <w:rFonts w:ascii="Arial" w:hAnsi="Arial" w:cs="Arial"/>
        </w:rPr>
      </w:pPr>
    </w:p>
    <w:p w:rsidR="0061227C" w:rsidRPr="009A68AD" w:rsidRDefault="0061227C" w:rsidP="0061227C">
      <w:pPr>
        <w:rPr>
          <w:rFonts w:ascii="Arial" w:hAnsi="Arial" w:cs="Arial"/>
        </w:rPr>
      </w:pPr>
      <w:r w:rsidRPr="009A68AD">
        <w:rPr>
          <w:rFonts w:ascii="Arial" w:hAnsi="Arial" w:cs="Arial"/>
        </w:rPr>
        <w:t>F</w:t>
      </w:r>
      <w:r w:rsidRPr="009A68AD">
        <w:rPr>
          <w:rFonts w:ascii="Arial" w:hAnsi="Arial" w:cs="Arial"/>
        </w:rPr>
        <w:t>or the second question</w:t>
      </w:r>
      <w:r w:rsidRPr="009A68AD">
        <w:rPr>
          <w:rFonts w:ascii="Arial" w:hAnsi="Arial" w:cs="Arial"/>
        </w:rPr>
        <w:t>, UE may assume same value of TA is applicable for both LTE and NR in synchronous intra-band MR-DC scenarios and the value of TA</w:t>
      </w:r>
      <w:r w:rsidR="009F3725" w:rsidRPr="009A68AD">
        <w:rPr>
          <w:rFonts w:ascii="Arial" w:hAnsi="Arial" w:cs="Arial"/>
        </w:rPr>
        <w:t xml:space="preserve"> (i.e. (N</w:t>
      </w:r>
      <w:r w:rsidR="009F3725" w:rsidRPr="009A68AD">
        <w:rPr>
          <w:rFonts w:ascii="Arial" w:hAnsi="Arial" w:cs="Arial"/>
          <w:vertAlign w:val="subscript"/>
        </w:rPr>
        <w:t>TA</w:t>
      </w:r>
      <w:r w:rsidR="009F3725" w:rsidRPr="009A68AD">
        <w:rPr>
          <w:rFonts w:ascii="Arial" w:hAnsi="Arial" w:cs="Arial"/>
        </w:rPr>
        <w:t xml:space="preserve"> + N</w:t>
      </w:r>
      <w:r w:rsidR="009F3725" w:rsidRPr="009A68AD">
        <w:rPr>
          <w:rFonts w:ascii="Arial" w:hAnsi="Arial" w:cs="Arial"/>
          <w:vertAlign w:val="subscript"/>
        </w:rPr>
        <w:t>TA offset</w:t>
      </w:r>
      <w:r w:rsidR="009F3725" w:rsidRPr="009A68AD">
        <w:rPr>
          <w:rFonts w:ascii="Arial" w:hAnsi="Arial" w:cs="Arial"/>
          <w:vertAlign w:val="subscript"/>
        </w:rPr>
        <w:softHyphen/>
      </w:r>
      <w:r w:rsidR="009F3725" w:rsidRPr="009A68AD">
        <w:rPr>
          <w:rFonts w:ascii="Arial" w:hAnsi="Arial" w:cs="Arial"/>
          <w:vertAlign w:val="subscript"/>
        </w:rPr>
        <w:softHyphen/>
      </w:r>
      <w:r w:rsidR="009F3725" w:rsidRPr="009A68AD">
        <w:rPr>
          <w:rFonts w:ascii="Arial" w:hAnsi="Arial" w:cs="Arial"/>
        </w:rPr>
        <w:t>)T</w:t>
      </w:r>
      <w:r w:rsidR="009F3725" w:rsidRPr="009A68AD">
        <w:rPr>
          <w:rFonts w:ascii="Arial" w:hAnsi="Arial" w:cs="Arial"/>
          <w:vertAlign w:val="subscript"/>
        </w:rPr>
        <w:t>s</w:t>
      </w:r>
      <w:r w:rsidR="009F3725" w:rsidRPr="009A68AD">
        <w:rPr>
          <w:rFonts w:ascii="Arial" w:hAnsi="Arial" w:cs="Arial"/>
        </w:rPr>
        <w:t>)</w:t>
      </w:r>
      <w:r w:rsidRPr="009A68AD">
        <w:rPr>
          <w:rFonts w:ascii="Arial" w:hAnsi="Arial" w:cs="Arial"/>
        </w:rPr>
        <w:t xml:space="preserve"> is determined by the received TA from LTE for all uplink signals/channels other than PRACH</w:t>
      </w:r>
      <w:r w:rsidR="009A68AD" w:rsidRPr="009A68AD">
        <w:rPr>
          <w:rFonts w:ascii="Arial" w:hAnsi="Arial" w:cs="Arial"/>
        </w:rPr>
        <w:t xml:space="preserve"> and </w:t>
      </w:r>
      <w:r w:rsidR="009A68AD">
        <w:rPr>
          <w:rFonts w:ascii="Arial" w:hAnsi="Arial" w:cs="Arial"/>
        </w:rPr>
        <w:t xml:space="preserve">value of TA </w:t>
      </w:r>
      <w:r w:rsidR="009A68AD" w:rsidRPr="009A68AD">
        <w:rPr>
          <w:rFonts w:ascii="Arial" w:hAnsi="Arial" w:cs="Arial"/>
        </w:rPr>
        <w:t>should be identical for both LTE and NR transmissions</w:t>
      </w:r>
      <w:r w:rsidRPr="009A68AD">
        <w:rPr>
          <w:rFonts w:ascii="Arial" w:hAnsi="Arial" w:cs="Arial"/>
        </w:rPr>
        <w:t xml:space="preserve">. </w:t>
      </w:r>
      <w:r w:rsidR="009F3725" w:rsidRPr="009A68AD">
        <w:rPr>
          <w:rFonts w:ascii="Arial" w:hAnsi="Arial" w:cs="Arial"/>
        </w:rPr>
        <w:t xml:space="preserve">The exclusion for PRACH is because TA other than </w:t>
      </w:r>
      <w:r w:rsidR="009A68AD" w:rsidRPr="009A68AD">
        <w:rPr>
          <w:rFonts w:ascii="Arial" w:hAnsi="Arial" w:cs="Arial"/>
        </w:rPr>
        <w:t>N</w:t>
      </w:r>
      <w:r w:rsidR="009A68AD" w:rsidRPr="009A68AD">
        <w:rPr>
          <w:rFonts w:ascii="Arial" w:hAnsi="Arial" w:cs="Arial"/>
          <w:vertAlign w:val="subscript"/>
        </w:rPr>
        <w:t xml:space="preserve">TA </w:t>
      </w:r>
      <w:r w:rsidR="009F3725" w:rsidRPr="009A68AD">
        <w:rPr>
          <w:rFonts w:ascii="Arial" w:hAnsi="Arial" w:cs="Arial"/>
          <w:vertAlign w:val="subscript"/>
        </w:rPr>
        <w:t>offset</w:t>
      </w:r>
      <w:r w:rsidR="009F3725" w:rsidRPr="009A68AD">
        <w:rPr>
          <w:rFonts w:ascii="Arial" w:hAnsi="Arial" w:cs="Arial"/>
        </w:rPr>
        <w:t xml:space="preserve"> is not applied to PRACH transmission. </w:t>
      </w:r>
      <w:r w:rsidRPr="009A68AD">
        <w:rPr>
          <w:rFonts w:ascii="Arial" w:hAnsi="Arial" w:cs="Arial"/>
        </w:rPr>
        <w:t>In case UE needs to transmit PRACH simultaneously with other signals/channels (including other PRACH), it is up to UE implementation on whether to transmit PRACH together with other signals/channel or not.</w:t>
      </w:r>
      <w:r w:rsidRPr="009A68AD">
        <w:rPr>
          <w:rFonts w:ascii="Arial" w:hAnsi="Arial" w:cs="Arial"/>
        </w:rPr>
        <w:t xml:space="preserve"> </w:t>
      </w:r>
    </w:p>
    <w:p w:rsidR="00424D93" w:rsidRDefault="00424D93" w:rsidP="00424D9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B82" w:rsidRDefault="00583B82">
      <w:r>
        <w:separator/>
      </w:r>
    </w:p>
  </w:endnote>
  <w:endnote w:type="continuationSeparator" w:id="0">
    <w:p w:rsidR="00583B82" w:rsidRDefault="00583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B82" w:rsidRDefault="00583B82">
      <w:r>
        <w:separator/>
      </w:r>
    </w:p>
  </w:footnote>
  <w:footnote w:type="continuationSeparator" w:id="0">
    <w:p w:rsidR="00583B82" w:rsidRDefault="00583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74A6A"/>
    <w:multiLevelType w:val="hybridMultilevel"/>
    <w:tmpl w:val="0BAC3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5"/>
  </w:num>
  <w:num w:numId="5">
    <w:abstractNumId w:val="0"/>
  </w:num>
  <w:num w:numId="6">
    <w:abstractNumId w:val="20"/>
  </w:num>
  <w:num w:numId="7">
    <w:abstractNumId w:val="2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17"/>
  </w:num>
  <w:num w:numId="13">
    <w:abstractNumId w:val="8"/>
  </w:num>
  <w:num w:numId="14">
    <w:abstractNumId w:val="13"/>
  </w:num>
  <w:num w:numId="15">
    <w:abstractNumId w:val="3"/>
  </w:num>
  <w:num w:numId="16">
    <w:abstractNumId w:val="12"/>
  </w:num>
  <w:num w:numId="17">
    <w:abstractNumId w:val="19"/>
  </w:num>
  <w:num w:numId="18">
    <w:abstractNumId w:val="15"/>
  </w:num>
  <w:num w:numId="19">
    <w:abstractNumId w:val="4"/>
  </w:num>
  <w:num w:numId="20">
    <w:abstractNumId w:val="1"/>
  </w:num>
  <w:num w:numId="2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83B82"/>
    <w:rsid w:val="00592E60"/>
    <w:rsid w:val="00592F26"/>
    <w:rsid w:val="005A5FF8"/>
    <w:rsid w:val="005A6005"/>
    <w:rsid w:val="005B1C03"/>
    <w:rsid w:val="005C784A"/>
    <w:rsid w:val="005F4CCE"/>
    <w:rsid w:val="00600CEC"/>
    <w:rsid w:val="00602A6B"/>
    <w:rsid w:val="00605A6C"/>
    <w:rsid w:val="0061227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8AD"/>
    <w:rsid w:val="009A6CDA"/>
    <w:rsid w:val="009B10D0"/>
    <w:rsid w:val="009B4223"/>
    <w:rsid w:val="009D017B"/>
    <w:rsid w:val="009D1E06"/>
    <w:rsid w:val="009D4EF9"/>
    <w:rsid w:val="009E3F1E"/>
    <w:rsid w:val="009E74C8"/>
    <w:rsid w:val="009F3725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9C874-89D5-491B-9B6C-A4D9A1B7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403</Words>
  <Characters>2064</Characters>
  <Application>Microsoft Office Word</Application>
  <DocSecurity>0</DocSecurity>
  <Lines>56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23</cp:revision>
  <cp:lastPrinted>2002-04-23T16:10:00Z</cp:lastPrinted>
  <dcterms:created xsi:type="dcterms:W3CDTF">2018-05-01T21:02:00Z</dcterms:created>
  <dcterms:modified xsi:type="dcterms:W3CDTF">2018-10-10T07:11:00Z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0fbc387d-d5dc-4951-99a6-d082770d1dc9</vt:lpwstr>
  </property>
  <property fmtid="{D5CDD505-2E9C-101B-9397-08002B2CF9AE}" pid="3" name="CTP_TimeStamp">
    <vt:lpwstr>2018-10-10 07:11:17Z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